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CC" w:rsidRPr="00A93AB6" w:rsidRDefault="00C62CCC" w:rsidP="00C62CC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</w:t>
      </w:r>
      <w:r w:rsidRPr="00A93AB6">
        <w:rPr>
          <w:rFonts w:ascii="Times New Roman" w:hAnsi="Times New Roman" w:cs="Times New Roman"/>
          <w:b/>
          <w:color w:val="000000"/>
          <w:sz w:val="26"/>
          <w:szCs w:val="26"/>
        </w:rPr>
        <w:t>ИИН 730318400275</w:t>
      </w:r>
    </w:p>
    <w:p w:rsidR="00C62CCC" w:rsidRPr="00A93AB6" w:rsidRDefault="00C62CCC" w:rsidP="00C62CCC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1433F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Номер 87775893377</w:t>
      </w:r>
    </w:p>
    <w:p w:rsidR="00C62CCC" w:rsidRPr="00093EEA" w:rsidRDefault="00C62CCC" w:rsidP="00C62C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bookmarkStart w:id="0" w:name="_GoBack"/>
      <w:bookmarkEnd w:id="0"/>
      <w:r w:rsidRPr="00093E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ДУЙСЕНБАЕВА Гульнара Даулетовна,</w:t>
      </w:r>
    </w:p>
    <w:p w:rsidR="00C62CCC" w:rsidRDefault="00C62CCC" w:rsidP="00C62CCC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93EEA">
        <w:rPr>
          <w:rFonts w:ascii="Times New Roman" w:hAnsi="Times New Roman" w:cs="Times New Roman"/>
          <w:b/>
          <w:sz w:val="24"/>
          <w:szCs w:val="24"/>
          <w:lang w:val="kk-KZ"/>
        </w:rPr>
        <w:t>Ө.Жолдасбеков атындағы №9 IT лицейінің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тарих пәні мұғалімі.</w:t>
      </w:r>
    </w:p>
    <w:p w:rsidR="00C62CCC" w:rsidRDefault="00C62CCC" w:rsidP="00C62CC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C62CCC" w:rsidRPr="003263B7" w:rsidRDefault="00C62CCC" w:rsidP="00C62CCC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37BAC" w:rsidRPr="00087A68" w:rsidRDefault="000B2F46" w:rsidP="0008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87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САКСКАЯ ЦАРИЦА</w:t>
      </w:r>
      <w:r w:rsidR="00087A68" w:rsidRPr="00087A6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087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ТОМИРИС</w:t>
      </w:r>
      <w:r w:rsidR="00087A68" w:rsidRPr="00087A6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087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ЕЕ НАСЛЕДИЕ В ИСТОРИИ</w:t>
      </w:r>
    </w:p>
    <w:p w:rsidR="00087A68" w:rsidRPr="00087A68" w:rsidRDefault="00087A68" w:rsidP="0008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5"/>
        <w:tblW w:w="11340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7909"/>
      </w:tblGrid>
      <w:tr w:rsidR="00837BAC" w:rsidRPr="00271E65" w:rsidTr="00271E65">
        <w:tc>
          <w:tcPr>
            <w:tcW w:w="3431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обучения:</w:t>
            </w:r>
          </w:p>
        </w:tc>
        <w:tc>
          <w:tcPr>
            <w:tcW w:w="7909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5.3.2.1.-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место ранних кочевников Казахстана на международной арене</w:t>
            </w:r>
          </w:p>
        </w:tc>
      </w:tr>
      <w:tr w:rsidR="00837BAC" w:rsidRPr="00271E65" w:rsidTr="00271E65">
        <w:tc>
          <w:tcPr>
            <w:tcW w:w="3431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урока:</w:t>
            </w:r>
          </w:p>
          <w:p w:rsidR="00837BAC" w:rsidRPr="00271E65" w:rsidRDefault="00837BAC" w:rsidP="00271E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знать роль  ранних кочевников Казахстана на международной арене.</w:t>
            </w:r>
          </w:p>
          <w:p w:rsidR="00837BAC" w:rsidRPr="00271E65" w:rsidRDefault="00EB4770" w:rsidP="00271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02183" w:rsidRPr="00271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дать  анализ исторической личности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сакской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царицы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37BAC" w:rsidRPr="00271E65" w:rsidRDefault="00EB4770" w:rsidP="00271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02183" w:rsidRPr="00271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собственную оценку сакско-персидским войнам.</w:t>
            </w:r>
          </w:p>
        </w:tc>
      </w:tr>
    </w:tbl>
    <w:p w:rsidR="00837BAC" w:rsidRPr="00271E65" w:rsidRDefault="00EB4770" w:rsidP="00271E6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71E65">
        <w:rPr>
          <w:rFonts w:ascii="Times New Roman" w:eastAsia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6"/>
        <w:tblW w:w="11340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980"/>
        <w:gridCol w:w="1769"/>
        <w:gridCol w:w="956"/>
        <w:gridCol w:w="1595"/>
        <w:gridCol w:w="1276"/>
        <w:gridCol w:w="1559"/>
      </w:tblGrid>
      <w:tr w:rsidR="00837BAC" w:rsidRPr="00271E65" w:rsidTr="00271E65">
        <w:tc>
          <w:tcPr>
            <w:tcW w:w="2205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374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учителя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Ресурсы</w:t>
            </w:r>
          </w:p>
        </w:tc>
      </w:tr>
      <w:tr w:rsidR="00837BAC" w:rsidRPr="00271E65" w:rsidTr="00271E65">
        <w:tc>
          <w:tcPr>
            <w:tcW w:w="2205" w:type="dxa"/>
            <w:vMerge w:val="restart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Организационный момент.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Приветствие. Знакомство с темой и целью урока.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Улыбнуться друг другу и пожелать хорошего настроения.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Приветсвуют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желают хорошего настроения </w:t>
            </w:r>
            <w:proofErr w:type="gramStart"/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-другу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По 10 бальной шкале.</w:t>
            </w:r>
          </w:p>
        </w:tc>
        <w:tc>
          <w:tcPr>
            <w:tcW w:w="1559" w:type="dxa"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Разминка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Вопрос, ответ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запланированных упражнений на уроке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«Узнай историческое лицо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37BAC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2 балла</w:t>
            </w:r>
          </w:p>
          <w:p w:rsidR="00271E65" w:rsidRPr="00271E65" w:rsidRDefault="00271E65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7BAC" w:rsidRPr="00271E65" w:rsidRDefault="00002183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Смайлики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тикер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EB4770"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игру - опрос:</w:t>
            </w:r>
          </w:p>
          <w:p w:rsidR="00837BAC" w:rsidRPr="00271E65" w:rsidRDefault="00C62CC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6">
              <w:r w:rsidR="00EB4770" w:rsidRPr="00271E6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https://learningapps.org/watch?v=pbwp8nsct24</w:t>
              </w:r>
            </w:hyperlink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“ДА-НЕТ”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ekqg67l9zorz" w:colFirst="0" w:colLast="0"/>
            <w:bookmarkEnd w:id="1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.Центральный Казахстан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населяли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сакские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племена /</w:t>
            </w: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.Тасмолинская культура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относится к Восточному Казахстану /</w:t>
            </w: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  <w:proofErr w:type="gramEnd"/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Курганы с усами находятся в Центральном Казахстане /</w:t>
            </w: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курганах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тасмолинской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имеются два захоронения/</w:t>
            </w: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Царские курганы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расположены в Центральном Казахстане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/нет</w:t>
            </w:r>
            <w:proofErr w:type="gramEnd"/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Встречаются 4 вида  курганов в период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Тасмолинской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/да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Саки относятся к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тасмолинской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культуре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/да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Сарыарка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название города/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нет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каждый правильный ответ получают фишку.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Самооценивание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002183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</w:t>
            </w:r>
            <w:r w:rsidR="00EB4770"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2 балла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Стикеры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Ссылка на прием:</w:t>
            </w:r>
          </w:p>
          <w:p w:rsidR="00837BAC" w:rsidRPr="00271E65" w:rsidRDefault="00C62CC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r w:rsidR="00EB4770" w:rsidRPr="00271E65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https://learningapps.org/watch?v=pfswg3vi224</w:t>
              </w:r>
            </w:hyperlink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BAC" w:rsidRPr="00271E65" w:rsidTr="00271E65">
        <w:tc>
          <w:tcPr>
            <w:tcW w:w="2205" w:type="dxa"/>
            <w:vMerge w:val="restart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мин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 xml:space="preserve">1 задание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Групповая работа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 задание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2329A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</w:t>
            </w: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C2329A" w:rsidRPr="00271E65" w:rsidRDefault="00C2329A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  <w:lang w:val="kk-KZ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</w:rPr>
              <w:t>3 задание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Работа с контурной картой 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-_______________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Конец урока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минут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Ромашка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Блума</w:t>
            </w:r>
            <w:proofErr w:type="spellEnd"/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</w:p>
        </w:tc>
        <w:tc>
          <w:tcPr>
            <w:tcW w:w="374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Эпиграф урока.</w:t>
            </w:r>
          </w:p>
          <w:p w:rsidR="00837BAC" w:rsidRPr="00271E65" w:rsidRDefault="00EB4770" w:rsidP="00271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«При набеге врага любая женщина испугалась бы, но только не она»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- Как вы думаете о ком эти слова?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-Что вы знаете о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сакской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 царице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749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Детям предлагают посмотреть видео - биографию, созданную ИИ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привлечение внимания всего класса посредством видео, учитель начинает дополнять видео материал более точной информацией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(Объяснение новой темы сопровождается красочной презентацией):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Точные даты рождения и смерти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неизвестны, однако ее правление датируется примерно VI веком до нашей эры. Она происходила из знатного рода саков, могущественного кочевого народа, населявшего степи Центральной Азии. После смерти своего отца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возглавила саков, став одной из немногих женщин-правителей древнего мира.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После завоевания Вавилона персидский царь Кир Великий обратил свой взор на земли саков. Под предлогом брака он попытался заманить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ловушку, но та, разоблачив его коварные планы, дала ему отпор. Разразилась ожесточенная битва, в которой персы потерпели сокрушительное поражение, а сам Кир Великий погиб.</w:t>
            </w:r>
          </w:p>
          <w:p w:rsidR="00837BAC" w:rsidRPr="00271E65" w:rsidRDefault="00EB4770" w:rsidP="00271E65">
            <w:pPr>
              <w:spacing w:before="240" w:after="2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Легенда гласит, что после победы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приказала наполнить мешок кровью поверженного врага и сказала: "Напейся крови, которой ты так жаждал!" Этот жест стал символом ее мести и торжества справедливости.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делит класс путем жеребьевки на три группы (на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стикерах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написано название групп): </w:t>
            </w:r>
          </w:p>
          <w:p w:rsidR="00837BAC" w:rsidRPr="00271E65" w:rsidRDefault="00EB4770" w:rsidP="00271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группа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</w:p>
          <w:p w:rsidR="00837BAC" w:rsidRPr="00271E65" w:rsidRDefault="00EB4770" w:rsidP="00271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группа Кир </w:t>
            </w:r>
          </w:p>
          <w:p w:rsidR="00837BAC" w:rsidRPr="00271E65" w:rsidRDefault="00EB4770" w:rsidP="00271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Непобежденный</w:t>
            </w:r>
            <w:proofErr w:type="gramEnd"/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u w:val="single"/>
              </w:rPr>
              <w:t>1 — задание.  «Оценщик»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Группам раздаются карточки с вопросами по теме.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учебник ответить на вопросы: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1.Оцените стратегию царицы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 Кира.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2.Как звали сына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3.Какова роль женщины 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сакском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4.В каком году персидский царь Кир начал свой поход против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каких источниках описывают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 звали царя Персии, который напал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саков?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Когда царь Персии напал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саков?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 греческих источниках называли «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называли Кира?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Чье войско восхвалялось как «непобежденное»?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 каком году персидский царь Кир начал свой поход против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2. Как в греческих источниках называли «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Чье войско восхвалялось как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«непобежденное»?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002183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погиб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Спаргапис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dcn4336lzox" w:colFirst="0" w:colLast="0"/>
            <w:bookmarkEnd w:id="2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5.Чем закончился поход Кира?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Светофор —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00"/>
              </w:rPr>
              <w:t>зе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CC00"/>
              </w:rPr>
              <w:t>л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понял.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Жел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онял не все.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3300"/>
              </w:rPr>
              <w:t>кр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3300"/>
              </w:rPr>
              <w:t>.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не усвоил.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BAC" w:rsidRPr="00271E65" w:rsidRDefault="00002183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lastRenderedPageBreak/>
              <w:t>Ученики смотрят фильм</w:t>
            </w:r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,</w:t>
            </w: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kk-KZ"/>
              </w:rPr>
              <w:t xml:space="preserve"> </w:t>
            </w:r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обсуждают </w:t>
            </w:r>
            <w:proofErr w:type="spellStart"/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эпиграф</w:t>
            </w:r>
            <w:proofErr w:type="gramStart"/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,в</w:t>
            </w:r>
            <w:proofErr w:type="gramEnd"/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ысказывают</w:t>
            </w:r>
            <w:proofErr w:type="spellEnd"/>
            <w:r w:rsidR="00EB4770"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свое мнение.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Ученики делятся на группы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1 группа – оценивают стратегию царицы против Кира.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66FFFF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66FFFF"/>
              </w:rPr>
              <w:t>Дескрипторы 1 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Знают имя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царицы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которая выступала против Кира.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звали сына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Определяют роль женщины 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сакском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каком году Кир пошел в поход против саков.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Знают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котором описывают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2 группа – дают оценку нападению Персии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на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саков 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66FFFF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66FFFF"/>
              </w:rPr>
              <w:t>Дискрипторы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66FFFF"/>
              </w:rPr>
              <w:t xml:space="preserve"> 2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 звали царя Персии, который напал на саков?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Знают когда царь Персии напал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саков?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как в греческих источниках называли «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4. Называют имя  Кира?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5.Называют 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которое восхвалялось как «непобежденное»?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3 группа – делают разбор окончанию войны Саков с персами.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66FFFF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66FFFF"/>
              </w:rPr>
              <w:t>Дискриптор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66FFFF"/>
              </w:rPr>
              <w:t xml:space="preserve"> 3  группа.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каком году персидский царь Кир начал свой поход против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 в греческих источниках называли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массагетов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чье войско восхвалялось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«непобежденное»?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2329A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как погиб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Спаргапис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C2329A" w:rsidRPr="00271E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чем закончился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поход Кира?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Видеоматериал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Презентация:</w:t>
            </w:r>
          </w:p>
          <w:p w:rsidR="00837BAC" w:rsidRPr="00271E65" w:rsidRDefault="00C62CC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 w:anchor="rs=link">
              <w:r w:rsidR="00EB4770" w:rsidRPr="00271E65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https://wepik.co</w:t>
              </w:r>
              <w:r w:rsidR="00EB4770" w:rsidRPr="00271E65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lastRenderedPageBreak/>
                <w:t>m/share/9cde5443-eb3b-450a-b99d-5fabf853beea#rs=link</w:t>
              </w:r>
            </w:hyperlink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Атрибуты для деления на группы карточки с названиями племен.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Карточки с вопросами.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учебником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2 — задание.  </w:t>
            </w: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Работа на интерактивной панели, решение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квеста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271E65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white"/>
              </w:rPr>
              <w:drawing>
                <wp:inline distT="114300" distB="114300" distL="114300" distR="114300" wp14:anchorId="34751FC6" wp14:editId="0C50B2AB">
                  <wp:extent cx="4076700" cy="162303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1623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Ссылка на кроссворд: </w:t>
            </w:r>
          </w:p>
          <w:p w:rsidR="00837BAC" w:rsidRPr="00271E65" w:rsidRDefault="00C62CC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>
              <w:r w:rsidR="00EB4770" w:rsidRPr="00271E65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https://wordwall.net/ru/resource/77060561</w:t>
              </w:r>
            </w:hyperlink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99FFFF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FFFF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99FFFF"/>
              </w:rPr>
              <w:t>3 – задание.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государствами саки вели войны? Покажите на карте места расселения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сакских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племен. Нанесите на контурную карту.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E30565" wp14:editId="36529ACE">
                  <wp:extent cx="1243965" cy="861060"/>
                  <wp:effectExtent l="0" t="0" r="0" b="0"/>
                  <wp:docPr id="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861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271E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09A3A2" wp14:editId="7ED74CAC">
                  <wp:extent cx="1334135" cy="893445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89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1.Обозначить на карте противников саков.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Показать на карте территорию расселения саков.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3.Эстетично и правильно нанести на контурную карту.</w:t>
            </w:r>
          </w:p>
          <w:p w:rsidR="00837BAC" w:rsidRPr="00271E65" w:rsidRDefault="00EB4770" w:rsidP="00271E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Шаблон правильных ответов на слайде.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Самооценивание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Атлас, контурная карта.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4A565FC" wp14:editId="784645FE">
                  <wp:extent cx="871266" cy="526211"/>
                  <wp:effectExtent l="0" t="0" r="5080" b="762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03" cy="527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 учителя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BAC" w:rsidRPr="00271E65" w:rsidTr="00271E65"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F80C1F" wp14:editId="58F5DC00">
                  <wp:extent cx="2723515" cy="267589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2675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урока. Общая оценка работы класса, групп. Анализ ожидаемых результатов записанных на доске.</w:t>
            </w:r>
          </w:p>
        </w:tc>
        <w:tc>
          <w:tcPr>
            <w:tcW w:w="1559" w:type="dxa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Карточки </w:t>
            </w:r>
          </w:p>
        </w:tc>
      </w:tr>
      <w:tr w:rsidR="00837BAC" w:rsidRPr="00271E65" w:rsidTr="00271E65">
        <w:trPr>
          <w:trHeight w:val="743"/>
        </w:trPr>
        <w:tc>
          <w:tcPr>
            <w:tcW w:w="2205" w:type="dxa"/>
            <w:vMerge/>
            <w:shd w:val="clear" w:color="auto" w:fill="auto"/>
            <w:tcMar>
              <w:left w:w="58" w:type="dxa"/>
            </w:tcMar>
          </w:tcPr>
          <w:p w:rsidR="00837BAC" w:rsidRPr="00271E65" w:rsidRDefault="00837BAC" w:rsidP="00271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параграф, 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пройдя по ссылке или отсканировав код</w:t>
            </w:r>
            <w:r w:rsidRPr="00271E6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0" distR="0" simplePos="0" relativeHeight="251659264" behindDoc="1" locked="0" layoutInCell="1" hidden="0" allowOverlap="1" wp14:anchorId="3B51E805" wp14:editId="503ED285">
                  <wp:simplePos x="0" y="0"/>
                  <wp:positionH relativeFrom="column">
                    <wp:posOffset>6497320</wp:posOffset>
                  </wp:positionH>
                  <wp:positionV relativeFrom="paragraph">
                    <wp:posOffset>73025</wp:posOffset>
                  </wp:positionV>
                  <wp:extent cx="1872615" cy="1455420"/>
                  <wp:effectExtent l="0" t="0" r="0" b="0"/>
                  <wp:wrapNone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55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  <w:tcMar>
              <w:left w:w="58" w:type="dxa"/>
            </w:tcMar>
          </w:tcPr>
          <w:p w:rsidR="00837BAC" w:rsidRPr="00271E65" w:rsidRDefault="00C62CCC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16">
              <w:r w:rsidR="00EB4770" w:rsidRPr="00271E6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kk-KZ"/>
                </w:rPr>
                <w:t>https://wordwall.net/ru/resource/77063210</w:t>
              </w:r>
            </w:hyperlink>
          </w:p>
        </w:tc>
      </w:tr>
      <w:tr w:rsidR="00837BAC" w:rsidRPr="00271E65" w:rsidTr="00271E65">
        <w:tc>
          <w:tcPr>
            <w:tcW w:w="4185" w:type="dxa"/>
            <w:gridSpan w:val="2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Дифференциация – каким образом вы планируете оказать больше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поддержки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?К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акие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задачи вы планируете поставить перед более способными учениками 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уроке предусмотрено дифференцированные задания на всех этапах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индивидуально и в группах.  Более способным учащимся предложены индивидуальные задания, а  также  возможность проявить лидирующие качества, проявить свои  знания и умения.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Слабым учащимся оказывается поддержка учителя, задаются наводящие вопросы, в качестве поддержки (подмостков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Д.Брунера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) им предоставляется иллюстрации, карты, исторический источник, что поможет им достичь цели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Предусмотрено 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оценивание  групповой работы: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дескрипторами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братная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связь: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приемом «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«Звездочка»,   а также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словесное  одобрение.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shd w:val="clear" w:color="auto" w:fill="auto"/>
            <w:tcMar>
              <w:left w:w="58" w:type="dxa"/>
            </w:tcMar>
          </w:tcPr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  и соблюдение техники безопасности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с ИКТ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Связи с ценностями 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воспитательный аспект)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связи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были 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составленыс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учетом возрастных особенностей; Использовалась</w:t>
            </w:r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всемирной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историей</w:t>
            </w:r>
            <w:proofErr w:type="gramStart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еографией</w:t>
            </w:r>
            <w:proofErr w:type="spellEnd"/>
          </w:p>
          <w:p w:rsidR="00837BAC" w:rsidRPr="00271E65" w:rsidRDefault="00EB4770" w:rsidP="00271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E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урока способствовал воспитанию</w:t>
            </w:r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патриотизма, гражданской позиции на примере подвига царицы </w:t>
            </w:r>
            <w:proofErr w:type="spellStart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Томирис</w:t>
            </w:r>
            <w:proofErr w:type="spellEnd"/>
            <w:r w:rsidRPr="00271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привить любовь к Родине.</w:t>
            </w: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BAC" w:rsidRPr="00271E65" w:rsidRDefault="00837BAC" w:rsidP="00271E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3179" w:rsidRPr="00271E65" w:rsidRDefault="00573179" w:rsidP="00271E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73179" w:rsidRPr="00271E65" w:rsidSect="00271E65">
      <w:pgSz w:w="11906" w:h="16838"/>
      <w:pgMar w:top="850" w:right="1134" w:bottom="1701" w:left="283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3DE7"/>
    <w:multiLevelType w:val="multilevel"/>
    <w:tmpl w:val="EA44E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2D37F05"/>
    <w:multiLevelType w:val="multilevel"/>
    <w:tmpl w:val="5E58D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7BAC"/>
    <w:rsid w:val="00002183"/>
    <w:rsid w:val="000432F6"/>
    <w:rsid w:val="00087A68"/>
    <w:rsid w:val="000B2F46"/>
    <w:rsid w:val="001A75EE"/>
    <w:rsid w:val="00271E65"/>
    <w:rsid w:val="002D233F"/>
    <w:rsid w:val="00573179"/>
    <w:rsid w:val="00837BAC"/>
    <w:rsid w:val="00A85370"/>
    <w:rsid w:val="00A93AB6"/>
    <w:rsid w:val="00AA36F7"/>
    <w:rsid w:val="00C2329A"/>
    <w:rsid w:val="00C62CCC"/>
    <w:rsid w:val="00D472CF"/>
    <w:rsid w:val="00E66A39"/>
    <w:rsid w:val="00E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20" w:after="120"/>
    </w:pPr>
    <w:rPr>
      <w:i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20" w:after="120"/>
    </w:pPr>
    <w:rPr>
      <w:i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pik.com/share/9cde5443-eb3b-450a-b99d-5fabf853beea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fswg3vi224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ru/resource/770632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bwp8nsct24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ordwall.net/ru/resource/770605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Malyka</cp:lastModifiedBy>
  <cp:revision>12</cp:revision>
  <cp:lastPrinted>2025-06-18T08:19:00Z</cp:lastPrinted>
  <dcterms:created xsi:type="dcterms:W3CDTF">2025-06-13T06:23:00Z</dcterms:created>
  <dcterms:modified xsi:type="dcterms:W3CDTF">2025-06-24T07:37:00Z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